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</w:rPr>
      </w:pPr>
      <w:bookmarkStart w:id="0" w:name="_Toc447180114"/>
      <w:bookmarkStart w:id="1" w:name="_Toc468194779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</w:rPr>
        <w:t>06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</w:rPr>
        <w:t>乒乓球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pStyle w:val="6"/>
        <w:spacing w:before="56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rPr>
          <w:rFonts w:ascii="Arial Unicode MS" w:hAnsi="Arial Unicode MS" w:eastAsia="Arial Unicode MS" w:cs="Arial Unicode MS"/>
          <w:sz w:val="20"/>
          <w:szCs w:val="20"/>
          <w:lang w:eastAsia="zh-CN"/>
        </w:rPr>
      </w:pP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tbl>
      <w:tblPr>
        <w:tblStyle w:val="5"/>
        <w:tblW w:w="829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089"/>
        <w:gridCol w:w="2227"/>
        <w:gridCol w:w="2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8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20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22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20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8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20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四米平行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往返摸球台</w:t>
            </w:r>
          </w:p>
        </w:tc>
        <w:tc>
          <w:tcPr>
            <w:tcW w:w="22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下旋转上旋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1/2 台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走动攻（拉）</w:t>
            </w:r>
          </w:p>
        </w:tc>
        <w:tc>
          <w:tcPr>
            <w:tcW w:w="20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8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 分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 分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四米平行往返摸球台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考试方法：考生在四米距离用并步或滑步左右移动，同时单手触摸球台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次（手扶球台</w:t>
      </w:r>
    </w:p>
    <w:p>
      <w:pPr>
        <w:pStyle w:val="3"/>
        <w:ind w:left="110"/>
        <w:rPr>
          <w:lang w:eastAsia="zh-CN"/>
        </w:rPr>
      </w:pPr>
      <w:r>
        <w:rPr>
          <w:color w:val="231F20"/>
          <w:lang w:eastAsia="zh-CN"/>
        </w:rPr>
        <w:t>开始），记录完成的时间。采用交叉步移动，成绩无效。每人测试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6-1。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7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6-1  四米平行往返摸球台评分表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0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5"/>
        <w:gridCol w:w="1384"/>
        <w:gridCol w:w="1384"/>
        <w:gridCol w:w="13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76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138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76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38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138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30" ～ 30"9</w:t>
            </w:r>
          </w:p>
        </w:tc>
        <w:tc>
          <w:tcPr>
            <w:tcW w:w="13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 ～ 35"9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 ～ 40"9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 ～ 45"9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31" ～ 31"9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 ～ 36"9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 ～ 41"9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 ～ 46"9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32" ～ 32"9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 ～ 37"9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 ～ 42"9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 ～ 47"9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 ～ 33"9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 ～ 38"9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 ～ 43"9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 ～ 48"9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 ～ 34"9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 ～ 39"9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 ～ 44"9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 ～ 49"9</w:t>
            </w:r>
          </w:p>
        </w:tc>
      </w:tr>
    </w:tbl>
    <w:p>
      <w:pPr>
        <w:spacing w:before="14"/>
        <w:rPr>
          <w:rFonts w:ascii="方正宋三简体" w:hAnsi="方正宋三简体" w:eastAsia="方正宋三简体" w:cs="方正宋三简体"/>
          <w:sz w:val="26"/>
          <w:szCs w:val="26"/>
        </w:rPr>
      </w:pPr>
    </w:p>
    <w:p>
      <w:pPr>
        <w:rPr>
          <w:rFonts w:ascii="方正宋三简体" w:hAnsi="方正宋三简体" w:eastAsia="方正宋三简体" w:cs="方正宋三简体"/>
          <w:sz w:val="26"/>
          <w:szCs w:val="26"/>
        </w:rPr>
      </w:pPr>
      <w:r>
        <w:rPr>
          <w:rFonts w:ascii="方正宋三简体" w:hAnsi="方正宋三简体" w:eastAsia="方正宋三简体" w:cs="方正宋三简体"/>
          <w:sz w:val="26"/>
          <w:szCs w:val="26"/>
        </w:rPr>
        <w:br w:type="page"/>
      </w:r>
    </w:p>
    <w:p>
      <w:pPr>
        <w:spacing w:before="14"/>
        <w:rPr>
          <w:rFonts w:ascii="方正宋三简体" w:hAnsi="方正宋三简体" w:eastAsia="方正宋三简体" w:cs="方正宋三简体"/>
          <w:sz w:val="26"/>
          <w:szCs w:val="26"/>
        </w:rPr>
      </w:pPr>
    </w:p>
    <w:tbl>
      <w:tblPr>
        <w:tblStyle w:val="5"/>
        <w:tblW w:w="8229" w:type="dxa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2"/>
        <w:gridCol w:w="1544"/>
        <w:gridCol w:w="1063"/>
        <w:gridCol w:w="1544"/>
        <w:gridCol w:w="13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12.5</w:t>
            </w:r>
          </w:p>
        </w:tc>
        <w:tc>
          <w:tcPr>
            <w:tcW w:w="152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 ～ 35"9</w:t>
            </w:r>
          </w:p>
        </w:tc>
        <w:tc>
          <w:tcPr>
            <w:tcW w:w="154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 ～ 40"9</w:t>
            </w:r>
          </w:p>
        </w:tc>
        <w:tc>
          <w:tcPr>
            <w:tcW w:w="10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15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 ～ 45"9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50" ～ 50"9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 ～ 36"9</w:t>
            </w:r>
          </w:p>
        </w:tc>
        <w:tc>
          <w:tcPr>
            <w:tcW w:w="1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 ～ 41"9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46" ～ 46"9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51" ～ 51"9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 ～ 37"9</w:t>
            </w:r>
          </w:p>
        </w:tc>
        <w:tc>
          <w:tcPr>
            <w:tcW w:w="1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 ～ 42"9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47" ～ 47"9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52" ～ 52"9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 ～ 38"9</w:t>
            </w:r>
          </w:p>
        </w:tc>
        <w:tc>
          <w:tcPr>
            <w:tcW w:w="1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 ～ 43"9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48" ～ 48"9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53" ～ 53"9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7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 ～ 39"9</w:t>
            </w:r>
          </w:p>
        </w:tc>
        <w:tc>
          <w:tcPr>
            <w:tcW w:w="154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 ～ 44"9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49" ～ 49"9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54" ～ 54"9</w:t>
            </w:r>
          </w:p>
        </w:tc>
      </w:tr>
    </w:tbl>
    <w:p>
      <w:pPr>
        <w:pStyle w:val="3"/>
        <w:spacing w:before="0" w:line="259" w:lineRule="exact"/>
        <w:ind w:left="500"/>
        <w:rPr>
          <w:lang w:eastAsia="zh-CN"/>
        </w:rPr>
      </w:pPr>
      <w:r>
        <w:rPr>
          <w:color w:val="231F20"/>
          <w:lang w:eastAsia="zh-CN"/>
        </w:rPr>
        <w:t>注：男子用时在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49"9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以上，女子在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54"9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以上，计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spacing w:before="6"/>
        <w:rPr>
          <w:rFonts w:ascii="方正宋一简体" w:hAnsi="方正宋一简体" w:eastAsia="方正宋一简体" w:cs="方正宋一简体"/>
          <w:sz w:val="25"/>
          <w:szCs w:val="2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（二）专项技术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下旋转上旋 1/2 台走动攻（拉）</w:t>
      </w:r>
    </w:p>
    <w:p>
      <w:pPr>
        <w:pStyle w:val="3"/>
        <w:spacing w:before="65" w:line="300" w:lineRule="auto"/>
        <w:ind w:left="103" w:right="82" w:firstLine="396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考试方法：考生在侧身位正手发下旋球后，将对方回搓到反手位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1/2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台的下旋球，侧身</w:t>
      </w:r>
      <w:r>
        <w:rPr>
          <w:color w:val="231F20"/>
          <w:spacing w:val="43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使用正手将球拉起，然后继续使用正手以中等力量在反手位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1/2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台区域内不定点的连续走位攻</w:t>
      </w:r>
    </w:p>
    <w:p>
      <w:pPr>
        <w:pStyle w:val="3"/>
        <w:spacing w:before="17"/>
        <w:ind w:left="103"/>
        <w:rPr>
          <w:lang w:eastAsia="zh-CN"/>
        </w:rPr>
      </w:pPr>
      <w:r>
        <w:rPr>
          <w:color w:val="231F20"/>
          <w:lang w:eastAsia="zh-CN"/>
        </w:rPr>
        <w:t>（拉），不得轻打（拉），否则算失分。</w:t>
      </w:r>
    </w:p>
    <w:p>
      <w:pPr>
        <w:pStyle w:val="3"/>
        <w:spacing w:line="300" w:lineRule="auto"/>
        <w:ind w:left="103" w:right="82" w:firstLine="396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30"/>
          <w:lang w:eastAsia="zh-CN"/>
        </w:rPr>
        <w:t xml:space="preserve"> </w:t>
      </w:r>
      <w:r>
        <w:rPr>
          <w:color w:val="231F20"/>
          <w:lang w:eastAsia="zh-CN"/>
        </w:rPr>
        <w:t>评分标</w:t>
      </w:r>
      <w:r>
        <w:rPr>
          <w:color w:val="231F20"/>
          <w:spacing w:val="-49"/>
          <w:lang w:eastAsia="zh-CN"/>
        </w:rPr>
        <w:t>准：</w:t>
      </w:r>
      <w:r>
        <w:rPr>
          <w:color w:val="231F20"/>
          <w:lang w:eastAsia="zh-CN"/>
        </w:rPr>
        <w:t>每个球连续</w:t>
      </w:r>
      <w:r>
        <w:rPr>
          <w:color w:val="231F20"/>
          <w:spacing w:val="-97"/>
          <w:lang w:eastAsia="zh-CN"/>
        </w:rPr>
        <w:t>攻</w:t>
      </w:r>
      <w:r>
        <w:rPr>
          <w:color w:val="231F20"/>
          <w:lang w:eastAsia="zh-CN"/>
        </w:rPr>
        <w:t>（拉</w:t>
      </w:r>
      <w:r>
        <w:rPr>
          <w:color w:val="231F20"/>
          <w:spacing w:val="-97"/>
          <w:lang w:eastAsia="zh-CN"/>
        </w:rPr>
        <w:t>）</w:t>
      </w:r>
      <w:r>
        <w:rPr>
          <w:color w:val="231F20"/>
          <w:lang w:eastAsia="zh-CN"/>
        </w:rPr>
        <w:t>五板以上者为成功一次</w:t>
      </w:r>
      <w:r>
        <w:rPr>
          <w:color w:val="231F20"/>
          <w:spacing w:val="-97"/>
          <w:lang w:eastAsia="zh-CN"/>
        </w:rPr>
        <w:t>，</w:t>
      </w:r>
      <w:r>
        <w:rPr>
          <w:color w:val="231F20"/>
          <w:lang w:eastAsia="zh-CN"/>
        </w:rPr>
        <w:t>得</w:t>
      </w:r>
      <w:r>
        <w:rPr>
          <w:color w:val="231F20"/>
          <w:spacing w:val="-30"/>
          <w:lang w:eastAsia="zh-CN"/>
        </w:rPr>
        <w:t xml:space="preserve"> </w:t>
      </w:r>
      <w:r>
        <w:rPr>
          <w:color w:val="231F20"/>
          <w:lang w:eastAsia="zh-CN"/>
        </w:rPr>
        <w:t>1.5</w:t>
      </w:r>
      <w:r>
        <w:rPr>
          <w:color w:val="231F20"/>
          <w:spacing w:val="-30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97"/>
          <w:lang w:eastAsia="zh-CN"/>
        </w:rPr>
        <w:t>。</w:t>
      </w:r>
      <w:r>
        <w:rPr>
          <w:color w:val="231F20"/>
          <w:lang w:eastAsia="zh-CN"/>
        </w:rPr>
        <w:t>每名考生有</w:t>
      </w:r>
      <w:r>
        <w:rPr>
          <w:color w:val="231F20"/>
          <w:spacing w:val="-30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30"/>
          <w:lang w:eastAsia="zh-CN"/>
        </w:rPr>
        <w:t xml:space="preserve"> </w:t>
      </w:r>
      <w:r>
        <w:rPr>
          <w:color w:val="231F20"/>
          <w:lang w:eastAsia="zh-CN"/>
        </w:rPr>
        <w:t>个球的机会， 累计得分为最终成绩。</w:t>
      </w:r>
    </w:p>
    <w:p>
      <w:pPr>
        <w:spacing w:before="8"/>
        <w:rPr>
          <w:rFonts w:ascii="方正宋一简体" w:hAnsi="方正宋一简体" w:eastAsia="方正宋一简体" w:cs="方正宋一简体"/>
          <w:sz w:val="21"/>
          <w:szCs w:val="21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比赛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考试方法：分别组织男女考生进行比赛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, 比赛采用三局两胜制，每局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人（含）以内进行单循环赛，决出全部名次。考生的上场顺序由抽签决定。</w:t>
      </w:r>
    </w:p>
    <w:p>
      <w:pPr>
        <w:pStyle w:val="3"/>
        <w:spacing w:line="300" w:lineRule="auto"/>
        <w:ind w:left="103" w:right="82" w:firstLine="396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人以上采用阶段赛方法，第一阶段分组循环赛，决出小组名次；第二阶段淘汰赛，用交</w:t>
      </w:r>
      <w:r>
        <w:rPr>
          <w:color w:val="231F20"/>
          <w:spacing w:val="26"/>
          <w:lang w:eastAsia="zh-CN"/>
        </w:rPr>
        <w:t xml:space="preserve"> </w:t>
      </w:r>
      <w:r>
        <w:rPr>
          <w:color w:val="231F20"/>
          <w:lang w:eastAsia="zh-CN"/>
        </w:rPr>
        <w:t>叉淘汰的方法决出全部名次。</w:t>
      </w:r>
    </w:p>
    <w:p>
      <w:pPr>
        <w:pStyle w:val="3"/>
        <w:spacing w:before="16" w:line="292" w:lineRule="auto"/>
        <w:ind w:left="103" w:right="82" w:firstLine="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分组方</w:t>
      </w:r>
      <w:r>
        <w:rPr>
          <w:rFonts w:ascii="方正宋三简体" w:hAnsi="方正宋三简体" w:eastAsia="方正宋三简体" w:cs="方正宋三简体"/>
          <w:color w:val="231F20"/>
          <w:spacing w:val="-21"/>
          <w:lang w:eastAsia="zh-CN"/>
        </w:rPr>
        <w:t>法：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视考生人数</w:t>
      </w:r>
      <w:r>
        <w:rPr>
          <w:rFonts w:ascii="方正宋三简体" w:hAnsi="方正宋三简体" w:eastAsia="方正宋三简体" w:cs="方正宋三简体"/>
          <w:color w:val="231F20"/>
          <w:spacing w:val="-41"/>
          <w:lang w:eastAsia="zh-CN"/>
        </w:rPr>
        <w:t>，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确定组数后</w:t>
      </w:r>
      <w:r>
        <w:rPr>
          <w:rFonts w:ascii="方正宋三简体" w:hAnsi="方正宋三简体" w:eastAsia="方正宋三简体" w:cs="方正宋三简体"/>
          <w:color w:val="231F20"/>
          <w:spacing w:val="-41"/>
          <w:lang w:eastAsia="zh-CN"/>
        </w:rPr>
        <w:t>，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按运动技术等级高低排序</w:t>
      </w:r>
      <w:r>
        <w:rPr>
          <w:rFonts w:ascii="方正宋三简体" w:hAnsi="方正宋三简体" w:eastAsia="方正宋三简体" w:cs="方正宋三简体"/>
          <w:color w:val="231F20"/>
          <w:spacing w:val="-41"/>
          <w:lang w:eastAsia="zh-CN"/>
        </w:rPr>
        <w:t>，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等级高者先抽签确定签位， 下一级别考生的起始签位根据上一级别签位确定。</w:t>
      </w:r>
    </w:p>
    <w:p>
      <w:pPr>
        <w:pStyle w:val="3"/>
        <w:spacing w:before="15"/>
        <w:ind w:left="500"/>
        <w:rPr>
          <w:lang w:eastAsia="zh-CN"/>
        </w:rPr>
      </w:pPr>
      <w:r>
        <w:rPr>
          <w:color w:val="231F20"/>
          <w:lang w:eastAsia="zh-CN"/>
        </w:rPr>
        <w:t>例，运动健将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人，抽签先确定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1、2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号签位；一级运动员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人，起始签位从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号开始，抽</w:t>
      </w:r>
    </w:p>
    <w:p>
      <w:pPr>
        <w:pStyle w:val="3"/>
        <w:spacing w:line="300" w:lineRule="auto"/>
        <w:ind w:left="500" w:right="45" w:hanging="397"/>
        <w:rPr>
          <w:color w:val="231F20"/>
          <w:lang w:eastAsia="zh-CN"/>
        </w:rPr>
      </w:pPr>
      <w:r>
        <w:rPr>
          <w:color w:val="231F20"/>
          <w:lang w:eastAsia="zh-CN"/>
        </w:rPr>
        <w:t>签确定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3,4,5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号签位；二级运动员起始签位从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6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号开始。 以此类推。签位确定后，按蛇形排列方法进行分组。 其他内容参照中国乒乓球协会审定的乒乓球竞赛规则执行。</w:t>
      </w:r>
    </w:p>
    <w:p>
      <w:pPr>
        <w:pStyle w:val="3"/>
        <w:spacing w:line="300" w:lineRule="auto"/>
        <w:ind w:left="220" w:leftChars="100" w:right="45" w:firstLine="200" w:firstLineChars="100"/>
        <w:rPr>
          <w:color w:val="231F20"/>
          <w:lang w:eastAsia="zh-CN"/>
        </w:rPr>
      </w:pPr>
      <w:r>
        <w:rPr>
          <w:color w:val="231F20"/>
          <w:lang w:eastAsia="zh-CN"/>
        </w:rPr>
        <w:t xml:space="preserve"> 2. 评分标准：</w:t>
      </w:r>
    </w:p>
    <w:p>
      <w:pPr>
        <w:pStyle w:val="3"/>
        <w:spacing w:before="0" w:line="480" w:lineRule="auto"/>
        <w:ind w:left="500" w:right="44" w:rightChars="20"/>
        <w:rPr>
          <w:lang w:eastAsia="zh-CN"/>
        </w:rPr>
      </w:pPr>
      <w:r>
        <w:rPr>
          <w:color w:val="231F20"/>
          <w:lang w:eastAsia="zh-CN"/>
        </w:rPr>
        <w:t>比赛成绩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  ×40+30</w:t>
      </w:r>
      <w:r>
        <w:rPr>
          <w:rFonts w:hint="eastAsia"/>
          <w:color w:val="231F20"/>
          <w:lang w:eastAsia="zh-CN"/>
        </w:rPr>
        <w:t>，</w:t>
      </w:r>
      <w:r>
        <w:rPr>
          <w:color w:val="231F20"/>
          <w:lang w:eastAsia="zh-CN"/>
        </w:rPr>
        <w:t>其中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N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为该专项考试人数，R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为比赛名次。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C5714"/>
    <w:rsid w:val="5C5B7C7F"/>
    <w:rsid w:val="797C5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2017-03-22T08:43:00Z</dcterms:created>
  <dc:creator>Administrator</dc:creator>
  <cp:lastModifiedBy>Administrator</cp:lastModifiedBy>
  <dcterms:modified xsi:type="dcterms:W3CDTF">2017-03-22T08:43:39Z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